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3E" w:rsidRPr="00D02189" w:rsidRDefault="006D023E">
      <w:pPr>
        <w:rPr>
          <w:rFonts w:ascii="黑体" w:eastAsia="黑体" w:hAnsi="黑体"/>
          <w:bCs/>
          <w:sz w:val="28"/>
          <w:szCs w:val="28"/>
        </w:rPr>
      </w:pPr>
      <w:r w:rsidRPr="00D02189">
        <w:rPr>
          <w:rFonts w:ascii="黑体" w:eastAsia="黑体" w:hAnsi="黑体" w:hint="eastAsia"/>
          <w:bCs/>
          <w:sz w:val="28"/>
          <w:szCs w:val="28"/>
        </w:rPr>
        <w:t>附件</w:t>
      </w:r>
      <w:bookmarkStart w:id="0" w:name="_GoBack"/>
      <w:bookmarkEnd w:id="0"/>
    </w:p>
    <w:p w:rsidR="00A6283E" w:rsidRDefault="006D023E">
      <w:pPr>
        <w:jc w:val="center"/>
        <w:rPr>
          <w:rFonts w:ascii="方正小标宋简体" w:eastAsia="方正小标宋简体" w:hAnsi="宋体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院系学生工作考评指标体系</w:t>
      </w: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253"/>
        <w:gridCol w:w="1656"/>
        <w:gridCol w:w="1005"/>
        <w:gridCol w:w="8702"/>
        <w:gridCol w:w="3279"/>
      </w:tblGrid>
      <w:tr w:rsidR="00A6283E" w:rsidTr="002E5345">
        <w:trPr>
          <w:trHeight w:val="310"/>
          <w:jc w:val="center"/>
        </w:trPr>
        <w:tc>
          <w:tcPr>
            <w:tcW w:w="1253" w:type="dxa"/>
            <w:vAlign w:val="center"/>
          </w:tcPr>
          <w:p w:rsidR="00A6283E" w:rsidRDefault="006D023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一级指标</w:t>
            </w: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观测点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分值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计分标准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计分依据</w:t>
            </w:r>
          </w:p>
        </w:tc>
      </w:tr>
      <w:tr w:rsidR="00A6283E">
        <w:trPr>
          <w:trHeight w:val="741"/>
          <w:jc w:val="center"/>
        </w:trPr>
        <w:tc>
          <w:tcPr>
            <w:tcW w:w="1253" w:type="dxa"/>
            <w:vMerge w:val="restart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Ⅰ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基础工作</w:t>
            </w:r>
          </w:p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36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组织领导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定期召开院（系）学生工作例会，制度规范，记录完备，每次加</w:t>
            </w:r>
            <w:r>
              <w:rPr>
                <w:rFonts w:ascii="宋体" w:hAnsi="宋体" w:hint="eastAsia"/>
                <w:sz w:val="18"/>
                <w:szCs w:val="18"/>
              </w:rPr>
              <w:t>0.2</w:t>
            </w:r>
            <w:r>
              <w:rPr>
                <w:rFonts w:ascii="宋体" w:hAnsi="宋体" w:hint="eastAsia"/>
                <w:sz w:val="18"/>
                <w:szCs w:val="18"/>
              </w:rPr>
              <w:t>分，该项不超过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根据校思政工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作要点，制定有具体的工作计划和实施方案，措施得力，效果明显，加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每年召开一次学生工作会议总结、研讨或组织表彰，加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以报送或抄送学、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工部的会议纪要、安排或总结工作的文件为准。</w:t>
            </w:r>
          </w:p>
        </w:tc>
      </w:tr>
      <w:tr w:rsidR="00A6283E">
        <w:trPr>
          <w:trHeight w:val="1181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主题教育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开展理想信念、爱国主义、思想道德、爱校荣校、校纪校规、感恩教育、诚信教育、法制安全、民族团结、心理健康、自立自强、创新创业等主题教育活动，组织有力，点面结合，效果显著，每次加</w:t>
            </w:r>
            <w:r>
              <w:rPr>
                <w:rFonts w:ascii="宋体" w:hAnsi="宋体" w:hint="eastAsia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分，该项总分不超过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开展主题教育活动情况，以院系党委报送或抄送学、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工部的文件和校园网主页新闻焦点、聚焦院处以及学、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工部官方网站报道信息为准。</w:t>
            </w:r>
          </w:p>
        </w:tc>
      </w:tr>
      <w:tr w:rsidR="00A6283E">
        <w:trPr>
          <w:trHeight w:val="1440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学生党建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ind w:rightChars="313" w:right="93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学生党支部“三会一课”制度规范，主题明确，记录完备，每次组织生活加</w:t>
            </w:r>
            <w:r>
              <w:rPr>
                <w:rFonts w:ascii="宋体" w:hAnsi="宋体" w:hint="eastAsia"/>
                <w:sz w:val="18"/>
                <w:szCs w:val="18"/>
              </w:rPr>
              <w:t>0.2</w:t>
            </w:r>
            <w:r>
              <w:rPr>
                <w:rFonts w:ascii="宋体" w:hAnsi="宋体" w:hint="eastAsia"/>
                <w:sz w:val="18"/>
                <w:szCs w:val="18"/>
              </w:rPr>
              <w:t>分，满分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院系党委书记、党委副书记为学生党支部讲党课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或形势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与政策课，记录完备，内容充实，效果显著，每次加</w:t>
            </w:r>
            <w:r>
              <w:rPr>
                <w:rFonts w:ascii="宋体" w:hAnsi="宋体" w:hint="eastAsia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分，满分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学生对所在院系党组织和党员队伍先进性满意度测评，</w:t>
            </w:r>
            <w:r>
              <w:rPr>
                <w:rFonts w:ascii="宋体" w:hAnsi="宋体"/>
                <w:sz w:val="18"/>
                <w:szCs w:val="18"/>
              </w:rPr>
              <w:t>得分为满意</w:t>
            </w:r>
            <w:r>
              <w:rPr>
                <w:rFonts w:ascii="宋体" w:hAnsi="宋体" w:hint="eastAsia"/>
                <w:sz w:val="18"/>
                <w:szCs w:val="18"/>
              </w:rPr>
              <w:t>评价百分比</w:t>
            </w: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学生党员应知应会学习效果分，根据学校抽查测试的平均成绩核定，得分为（平均成绩</w:t>
            </w:r>
            <w:r>
              <w:rPr>
                <w:rFonts w:ascii="宋体" w:hAnsi="宋体"/>
                <w:sz w:val="18"/>
                <w:szCs w:val="18"/>
              </w:rPr>
              <w:t>/100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以报送或抄送学、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工部的相关材料、文件以及组织部、党校的相关数据为准。</w:t>
            </w:r>
          </w:p>
        </w:tc>
      </w:tr>
      <w:tr w:rsidR="00A6283E">
        <w:trPr>
          <w:trHeight w:val="1778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学风建设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ind w:rightChars="313" w:right="93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定期研究学风建设相关工作，着力解决学生学习纪律和学习风气的问题，有切实可行的学风建设方案，加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A6283E" w:rsidRDefault="006D023E">
            <w:pPr>
              <w:ind w:rightChars="313" w:right="93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开展学风建设相关活动或学术道德等方面的主题教育活动每次加</w:t>
            </w:r>
            <w:r>
              <w:rPr>
                <w:rFonts w:ascii="宋体" w:hAnsi="宋体" w:hint="eastAsia"/>
                <w:sz w:val="18"/>
                <w:szCs w:val="18"/>
              </w:rPr>
              <w:t>0.3</w:t>
            </w:r>
            <w:r>
              <w:rPr>
                <w:rFonts w:ascii="宋体" w:hAnsi="宋体" w:hint="eastAsia"/>
                <w:sz w:val="18"/>
                <w:szCs w:val="18"/>
              </w:rPr>
              <w:t>分，该项总分不超过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院系必修课不及格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总门次较上年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下降加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分，毕业生英语四级通过率、符合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推免基本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条件学生比例位于学校前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／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者，分别加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无考试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违纪、作弊现象和学术不端行为加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分，故意瞒报扣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以报送或抄送学、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工部的相关材料及教务处、研究生院提供数据为准。</w:t>
            </w:r>
          </w:p>
        </w:tc>
      </w:tr>
      <w:tr w:rsidR="00A6283E">
        <w:trPr>
          <w:trHeight w:val="983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队伍建设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本院系辅导员在当年业务能力竞赛中平均成绩的百分比</w:t>
            </w:r>
            <w:r>
              <w:rPr>
                <w:rFonts w:ascii="宋体" w:hAnsi="宋体" w:hint="eastAsia"/>
                <w:sz w:val="18"/>
                <w:szCs w:val="18"/>
              </w:rPr>
              <w:t>*2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学生对所在院系辅导员、班主任队伍工作满意度测评，得分为满意</w:t>
            </w:r>
            <w:r>
              <w:rPr>
                <w:rFonts w:ascii="宋体" w:hAnsi="宋体" w:hint="eastAsia"/>
                <w:sz w:val="18"/>
                <w:szCs w:val="18"/>
              </w:rPr>
              <w:t>评价百分比</w:t>
            </w:r>
            <w:r>
              <w:rPr>
                <w:rFonts w:ascii="宋体" w:hAnsi="宋体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辅导员、班主任满意度测评等次不合格的，每人次扣</w:t>
            </w:r>
            <w:r>
              <w:rPr>
                <w:rFonts w:ascii="宋体" w:hAnsi="宋体" w:hint="eastAsia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院系住宿辅导员坐班情况，出勤率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以上的得分为出勤率</w:t>
            </w:r>
            <w:r>
              <w:rPr>
                <w:rFonts w:ascii="宋体" w:hAnsi="宋体" w:hint="eastAsia"/>
                <w:sz w:val="18"/>
                <w:szCs w:val="18"/>
              </w:rPr>
              <w:t>*1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以下不得分。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工部数据为准。</w:t>
            </w:r>
          </w:p>
        </w:tc>
      </w:tr>
      <w:tr w:rsidR="00A6283E" w:rsidTr="007271D7">
        <w:trPr>
          <w:trHeight w:val="677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工作作风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工作任务按时完成率在</w:t>
            </w:r>
            <w:r>
              <w:rPr>
                <w:rFonts w:ascii="宋体" w:hAnsi="宋体" w:hint="eastAsia"/>
                <w:sz w:val="18"/>
                <w:szCs w:val="18"/>
              </w:rPr>
              <w:t>90%</w:t>
            </w:r>
            <w:r>
              <w:rPr>
                <w:rFonts w:ascii="宋体" w:hAnsi="宋体" w:hint="eastAsia"/>
                <w:sz w:val="18"/>
                <w:szCs w:val="18"/>
              </w:rPr>
              <w:t>以上加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80%</w:t>
            </w:r>
            <w:r>
              <w:rPr>
                <w:rFonts w:ascii="宋体" w:hAnsi="宋体" w:hint="eastAsia"/>
                <w:sz w:val="18"/>
                <w:szCs w:val="18"/>
              </w:rPr>
              <w:t>以上加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70%</w:t>
            </w:r>
            <w:r>
              <w:rPr>
                <w:rFonts w:ascii="宋体" w:hAnsi="宋体" w:hint="eastAsia"/>
                <w:sz w:val="18"/>
                <w:szCs w:val="18"/>
              </w:rPr>
              <w:t>以上加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分，其他情况不得分；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参加培训及会议出勤率</w:t>
            </w:r>
            <w:r>
              <w:rPr>
                <w:rFonts w:ascii="宋体" w:hAnsi="宋体" w:hint="eastAsia"/>
                <w:sz w:val="18"/>
                <w:szCs w:val="18"/>
              </w:rPr>
              <w:t>70%</w:t>
            </w:r>
            <w:r>
              <w:rPr>
                <w:rFonts w:ascii="宋体" w:hAnsi="宋体" w:hint="eastAsia"/>
                <w:sz w:val="18"/>
                <w:szCs w:val="18"/>
              </w:rPr>
              <w:t>以上得分为出勤率</w:t>
            </w:r>
            <w:r>
              <w:rPr>
                <w:rFonts w:ascii="宋体" w:hAnsi="宋体" w:hint="eastAsia"/>
                <w:sz w:val="18"/>
                <w:szCs w:val="18"/>
              </w:rPr>
              <w:t>*2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70%</w:t>
            </w:r>
            <w:r>
              <w:rPr>
                <w:rFonts w:ascii="宋体" w:hAnsi="宋体" w:hint="eastAsia"/>
                <w:sz w:val="18"/>
                <w:szCs w:val="18"/>
              </w:rPr>
              <w:t>以下得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分。此项内容总分不超过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工部统计和考勤记录为准。</w:t>
            </w:r>
          </w:p>
        </w:tc>
      </w:tr>
      <w:tr w:rsidR="00A6283E">
        <w:trPr>
          <w:trHeight w:val="90"/>
          <w:jc w:val="center"/>
        </w:trPr>
        <w:tc>
          <w:tcPr>
            <w:tcW w:w="1253" w:type="dxa"/>
            <w:vMerge w:val="restart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Ⅱ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重点工作</w:t>
            </w:r>
          </w:p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lastRenderedPageBreak/>
              <w:t>易班网络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建设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优秀易班工作站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评比成绩核定，</w:t>
            </w:r>
            <w:r>
              <w:rPr>
                <w:rFonts w:ascii="宋体" w:hAnsi="宋体" w:hint="eastAsia"/>
                <w:sz w:val="18"/>
                <w:szCs w:val="18"/>
              </w:rPr>
              <w:t>1-6</w:t>
            </w:r>
            <w:r>
              <w:rPr>
                <w:rFonts w:ascii="宋体" w:hAnsi="宋体" w:hint="eastAsia"/>
                <w:sz w:val="18"/>
                <w:szCs w:val="18"/>
              </w:rPr>
              <w:t>名得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7-12</w:t>
            </w:r>
            <w:r>
              <w:rPr>
                <w:rFonts w:ascii="宋体" w:hAnsi="宋体" w:hint="eastAsia"/>
                <w:sz w:val="18"/>
                <w:szCs w:val="18"/>
              </w:rPr>
              <w:t>名得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13-16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>
              <w:rPr>
                <w:rFonts w:ascii="宋体" w:hAnsi="宋体" w:hint="eastAsia"/>
                <w:sz w:val="18"/>
                <w:szCs w:val="18"/>
              </w:rPr>
              <w:t>17-20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工部开展的专项评比结果为准。</w:t>
            </w:r>
          </w:p>
        </w:tc>
      </w:tr>
      <w:tr w:rsidR="00A6283E">
        <w:trPr>
          <w:trHeight w:val="341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三项基础工作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思想教育面对面、学业生涯规划指导、优良学风示范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班建设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各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分，根据工作完成率核定。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以学校抽查情况为准。</w:t>
            </w:r>
          </w:p>
        </w:tc>
      </w:tr>
      <w:tr w:rsidR="00A6283E">
        <w:trPr>
          <w:trHeight w:val="767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B36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全国高校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思政会议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="006D023E">
              <w:rPr>
                <w:rFonts w:ascii="宋体" w:hAnsi="宋体" w:hint="eastAsia"/>
                <w:sz w:val="18"/>
                <w:szCs w:val="18"/>
              </w:rPr>
              <w:t>十九大精神学习</w:t>
            </w:r>
            <w:r>
              <w:rPr>
                <w:rFonts w:ascii="宋体" w:hAnsi="宋体" w:hint="eastAsia"/>
                <w:sz w:val="18"/>
                <w:szCs w:val="18"/>
              </w:rPr>
              <w:t>贯彻</w:t>
            </w:r>
          </w:p>
        </w:tc>
        <w:tc>
          <w:tcPr>
            <w:tcW w:w="1005" w:type="dxa"/>
            <w:vAlign w:val="center"/>
          </w:tcPr>
          <w:p w:rsidR="00A6283E" w:rsidRDefault="005635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702" w:type="dxa"/>
            <w:vAlign w:val="center"/>
          </w:tcPr>
          <w:p w:rsidR="00A6283E" w:rsidRDefault="005635F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根据学校文件</w:t>
            </w:r>
            <w:r w:rsidR="006D023E">
              <w:rPr>
                <w:rFonts w:ascii="宋体" w:hAnsi="宋体" w:hint="eastAsia"/>
                <w:sz w:val="18"/>
                <w:szCs w:val="18"/>
              </w:rPr>
              <w:t>精神开展本院系学习教育活动，每次</w:t>
            </w:r>
            <w:r w:rsidR="00E17C29">
              <w:rPr>
                <w:rFonts w:ascii="宋体" w:hAnsi="宋体" w:hint="eastAsia"/>
                <w:sz w:val="18"/>
                <w:szCs w:val="18"/>
              </w:rPr>
              <w:t>加</w:t>
            </w:r>
            <w:r>
              <w:rPr>
                <w:rFonts w:ascii="宋体" w:hAnsi="宋体" w:hint="eastAsia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分，</w:t>
            </w:r>
            <w:r w:rsidR="00360585">
              <w:rPr>
                <w:rFonts w:ascii="宋体" w:hAnsi="宋体" w:hint="eastAsia"/>
                <w:sz w:val="18"/>
                <w:szCs w:val="18"/>
              </w:rPr>
              <w:t>该项</w:t>
            </w:r>
            <w:r w:rsidR="00E17C29">
              <w:rPr>
                <w:rFonts w:ascii="宋体" w:hAnsi="宋体" w:hint="eastAsia"/>
                <w:sz w:val="18"/>
                <w:szCs w:val="18"/>
              </w:rPr>
              <w:t>满分</w:t>
            </w:r>
            <w:r w:rsidR="00B36339">
              <w:rPr>
                <w:rFonts w:ascii="宋体" w:hAnsi="宋体" w:hint="eastAsia"/>
                <w:sz w:val="18"/>
                <w:szCs w:val="18"/>
              </w:rPr>
              <w:t>3</w:t>
            </w:r>
            <w:r w:rsidR="00E17C29">
              <w:rPr>
                <w:rFonts w:ascii="宋体" w:hAnsi="宋体" w:hint="eastAsia"/>
                <w:sz w:val="18"/>
                <w:szCs w:val="18"/>
              </w:rPr>
              <w:t>分；</w:t>
            </w:r>
            <w:r>
              <w:rPr>
                <w:rFonts w:ascii="宋体" w:hAnsi="宋体" w:hint="eastAsia"/>
                <w:sz w:val="18"/>
                <w:szCs w:val="18"/>
              </w:rPr>
              <w:t>学习效果</w:t>
            </w:r>
            <w:r w:rsidR="00B36339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 w:rsidR="00E17C29">
              <w:rPr>
                <w:rFonts w:ascii="宋体" w:hAnsi="宋体" w:hint="eastAsia"/>
                <w:sz w:val="18"/>
                <w:szCs w:val="18"/>
              </w:rPr>
              <w:t>，根据相关测试结果核算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79" w:type="dxa"/>
            <w:vAlign w:val="center"/>
          </w:tcPr>
          <w:p w:rsidR="00A6283E" w:rsidRDefault="006D023E" w:rsidP="00E17C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以院系党委报送或抄送学、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工部的文件和校园网主页新闻焦点、聚焦院处以及学、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工部官方网站报道信息为准。</w:t>
            </w:r>
          </w:p>
        </w:tc>
      </w:tr>
      <w:tr w:rsidR="00A6283E">
        <w:trPr>
          <w:trHeight w:val="268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思政教育</w:t>
            </w:r>
            <w:proofErr w:type="gramEnd"/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网络思想教育有平台</w:t>
            </w:r>
            <w:r w:rsidR="00913143">
              <w:rPr>
                <w:rFonts w:ascii="宋体" w:hAnsi="宋体" w:hint="eastAsia"/>
                <w:sz w:val="18"/>
                <w:szCs w:val="18"/>
              </w:rPr>
              <w:t>加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分，全员参与</w:t>
            </w:r>
            <w:r w:rsidR="00913143">
              <w:rPr>
                <w:rFonts w:ascii="宋体" w:hAnsi="宋体" w:hint="eastAsia"/>
                <w:sz w:val="18"/>
                <w:szCs w:val="18"/>
              </w:rPr>
              <w:t>加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以学院提供相关材料为准。</w:t>
            </w:r>
          </w:p>
        </w:tc>
      </w:tr>
      <w:tr w:rsidR="00A6283E">
        <w:trPr>
          <w:trHeight w:val="352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落实巡视整改任务</w:t>
            </w:r>
          </w:p>
        </w:tc>
        <w:tc>
          <w:tcPr>
            <w:tcW w:w="1005" w:type="dxa"/>
            <w:vAlign w:val="center"/>
          </w:tcPr>
          <w:p w:rsidR="00A6283E" w:rsidRDefault="006A5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702" w:type="dxa"/>
            <w:vAlign w:val="center"/>
          </w:tcPr>
          <w:p w:rsidR="00A6283E" w:rsidRDefault="006D023E" w:rsidP="007A4B4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意识形态专项调研谈话、学生党员党性修养谈心谈话</w:t>
            </w:r>
            <w:r w:rsidR="006A5B20">
              <w:rPr>
                <w:rFonts w:ascii="宋体" w:hAnsi="宋体" w:hint="eastAsia"/>
                <w:sz w:val="18"/>
                <w:szCs w:val="18"/>
              </w:rPr>
              <w:t>、少数民族学生培养三项工作</w:t>
            </w:r>
            <w:r>
              <w:rPr>
                <w:rFonts w:ascii="宋体" w:hAnsi="宋体" w:hint="eastAsia"/>
                <w:sz w:val="18"/>
                <w:szCs w:val="18"/>
              </w:rPr>
              <w:t>，各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 w:rsidR="00FC1017">
              <w:rPr>
                <w:rFonts w:ascii="宋体" w:hAnsi="宋体" w:hint="eastAsia"/>
                <w:sz w:val="18"/>
                <w:szCs w:val="18"/>
              </w:rPr>
              <w:t>，其中，按时完成</w:t>
            </w:r>
            <w:r w:rsidR="006A5B20">
              <w:rPr>
                <w:rFonts w:ascii="宋体" w:hAnsi="宋体" w:hint="eastAsia"/>
                <w:sz w:val="18"/>
                <w:szCs w:val="18"/>
              </w:rPr>
              <w:t>1</w:t>
            </w:r>
            <w:r w:rsidR="006A5B20">
              <w:rPr>
                <w:rFonts w:ascii="宋体" w:hAnsi="宋体" w:hint="eastAsia"/>
                <w:sz w:val="18"/>
                <w:szCs w:val="18"/>
              </w:rPr>
              <w:t>分，完成质量</w:t>
            </w:r>
            <w:r w:rsidR="006A5B20">
              <w:rPr>
                <w:rFonts w:ascii="宋体" w:hAnsi="宋体" w:hint="eastAsia"/>
                <w:sz w:val="18"/>
                <w:szCs w:val="18"/>
              </w:rPr>
              <w:t>1</w:t>
            </w:r>
            <w:r w:rsidR="006A5B20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工部对院系上报材料审核为准。</w:t>
            </w:r>
          </w:p>
        </w:tc>
      </w:tr>
      <w:tr w:rsidR="00A6283E">
        <w:trPr>
          <w:trHeight w:val="248"/>
          <w:jc w:val="center"/>
        </w:trPr>
        <w:tc>
          <w:tcPr>
            <w:tcW w:w="1253" w:type="dxa"/>
            <w:vMerge w:val="restart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Ⅲ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特色、</w:t>
            </w:r>
          </w:p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创新工作</w:t>
            </w:r>
          </w:p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工作理念与思路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702" w:type="dxa"/>
            <w:vMerge w:val="restart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围绕学生工作中的一个点和面开展的特色鲜明、创新性强的工作，并在全校有示范、推广价值。其中要求工作理念和思路清晰（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分）、措施得力（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分）、效果显著（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3279" w:type="dxa"/>
            <w:vMerge w:val="restart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各院系进行现场</w:t>
            </w:r>
            <w:r>
              <w:rPr>
                <w:rFonts w:ascii="宋体" w:hAnsi="宋体" w:hint="eastAsia"/>
                <w:sz w:val="18"/>
                <w:szCs w:val="18"/>
              </w:rPr>
              <w:t>PPT</w:t>
            </w:r>
            <w:r>
              <w:rPr>
                <w:rFonts w:ascii="宋体" w:hAnsi="宋体" w:hint="eastAsia"/>
                <w:sz w:val="18"/>
                <w:szCs w:val="18"/>
              </w:rPr>
              <w:t>汇报，由评委根据汇报和质询情况酌情给分。</w:t>
            </w:r>
          </w:p>
        </w:tc>
      </w:tr>
      <w:tr w:rsidR="00A6283E">
        <w:trPr>
          <w:trHeight w:val="237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工作措施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8702" w:type="dxa"/>
            <w:vMerge/>
            <w:vAlign w:val="center"/>
          </w:tcPr>
          <w:p w:rsidR="00A6283E" w:rsidRDefault="00A6283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6283E" w:rsidRDefault="00A6283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6283E">
        <w:trPr>
          <w:trHeight w:val="188"/>
          <w:jc w:val="center"/>
        </w:trPr>
        <w:tc>
          <w:tcPr>
            <w:tcW w:w="1253" w:type="dxa"/>
            <w:vMerge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工作成效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8702" w:type="dxa"/>
            <w:vMerge/>
            <w:vAlign w:val="center"/>
          </w:tcPr>
          <w:p w:rsidR="00A6283E" w:rsidRDefault="00A6283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79" w:type="dxa"/>
            <w:vMerge/>
            <w:vAlign w:val="center"/>
          </w:tcPr>
          <w:p w:rsidR="00A6283E" w:rsidRDefault="00A6283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6283E">
        <w:trPr>
          <w:trHeight w:val="257"/>
          <w:jc w:val="center"/>
        </w:trPr>
        <w:tc>
          <w:tcPr>
            <w:tcW w:w="1253" w:type="dxa"/>
            <w:tcBorders>
              <w:bottom w:val="nil"/>
            </w:tcBorders>
            <w:shd w:val="clear" w:color="auto" w:fill="auto"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研究生工作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工部考核成绩核定。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工部提供数据为准。</w:t>
            </w:r>
          </w:p>
        </w:tc>
      </w:tr>
      <w:tr w:rsidR="00A6283E">
        <w:trPr>
          <w:trHeight w:val="288"/>
          <w:jc w:val="center"/>
        </w:trPr>
        <w:tc>
          <w:tcPr>
            <w:tcW w:w="125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Ⅳ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其他内容</w:t>
            </w:r>
          </w:p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共青团工作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以团委考核成绩核定。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以团委提供数据为准。</w:t>
            </w:r>
          </w:p>
        </w:tc>
      </w:tr>
      <w:tr w:rsidR="00A6283E">
        <w:trPr>
          <w:trHeight w:val="278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就业工作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以就业中心考核成绩核定。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以就业指导中心提供数据为准。</w:t>
            </w:r>
          </w:p>
        </w:tc>
      </w:tr>
      <w:tr w:rsidR="00A6283E">
        <w:trPr>
          <w:trHeight w:val="5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体育工作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依据当年院系阳光体育运动和体侧成绩核定，高于平均成绩的院系根据实际成绩核定，低于平均成绩的按平均成绩核定。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以体育部提供数据为准。</w:t>
            </w:r>
          </w:p>
        </w:tc>
      </w:tr>
      <w:tr w:rsidR="00A6283E">
        <w:trPr>
          <w:trHeight w:val="905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院（系）配合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院系积极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承办思政教育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、招生、资助、易班、心理健康等大型校级活动，每次加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分，多个院系联合承办，平均分配得分，该项不超过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分。学院落实少数民族学生教育管理服务工作，有制度，有措施，有效果，少数民族学生群体稳定、和谐，优秀少数民族学生涌现较多，根据工作成效加分，满分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以学工部审定为准。</w:t>
            </w:r>
          </w:p>
        </w:tc>
      </w:tr>
      <w:tr w:rsidR="00A6283E">
        <w:trPr>
          <w:trHeight w:val="1273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工作研究</w:t>
            </w: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专职辅导员当年获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批主持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省部级以上课题加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分，厅局级课题加</w:t>
            </w:r>
            <w:r>
              <w:rPr>
                <w:rFonts w:ascii="宋体" w:hAnsi="宋体" w:hint="eastAsia"/>
                <w:sz w:val="18"/>
                <w:szCs w:val="18"/>
              </w:rPr>
              <w:t>1.5</w:t>
            </w:r>
            <w:r>
              <w:rPr>
                <w:rFonts w:ascii="宋体" w:hAnsi="宋体" w:hint="eastAsia"/>
                <w:sz w:val="18"/>
                <w:szCs w:val="18"/>
              </w:rPr>
              <w:t>分，校级课题加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分，总分不超过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专职辅导员以第一作者公开发表相关工作论文，普通期刊人均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篇以上加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分，人均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篇以上加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分，核心期刊每篇加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分，总分不超过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专职辅导员当年获得省级优秀案例、优秀论文、调研报告等加</w:t>
            </w:r>
            <w:r>
              <w:rPr>
                <w:rFonts w:ascii="宋体" w:hAnsi="宋体" w:hint="eastAsia"/>
                <w:sz w:val="18"/>
                <w:szCs w:val="18"/>
              </w:rPr>
              <w:t>0.5</w:t>
            </w:r>
            <w:r>
              <w:rPr>
                <w:rFonts w:ascii="宋体" w:hAnsi="宋体" w:hint="eastAsia"/>
                <w:sz w:val="18"/>
                <w:szCs w:val="18"/>
              </w:rPr>
              <w:t>分，获得省部级以上优秀案例、优秀论文、调研报告等加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分，总分不超过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由院系申报，学、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工部审核。</w:t>
            </w:r>
          </w:p>
        </w:tc>
      </w:tr>
      <w:tr w:rsidR="00A6283E" w:rsidTr="007271D7">
        <w:trPr>
          <w:trHeight w:val="158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A6283E" w:rsidRDefault="00A05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 w:rsidR="006D023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="006D023E">
              <w:rPr>
                <w:rFonts w:ascii="宋体" w:hAnsi="宋体" w:hint="eastAsia"/>
                <w:sz w:val="18"/>
                <w:szCs w:val="18"/>
              </w:rPr>
              <w:instrText>= 5 \* ROMAN</w:instrText>
            </w:r>
            <w:r w:rsidR="006D023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6D023E">
              <w:rPr>
                <w:rFonts w:ascii="宋体" w:hAnsi="宋体"/>
                <w:sz w:val="18"/>
                <w:szCs w:val="18"/>
              </w:rPr>
              <w:t>V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6D023E">
              <w:rPr>
                <w:rFonts w:ascii="宋体" w:hAnsi="宋体" w:hint="eastAsia"/>
                <w:sz w:val="18"/>
                <w:szCs w:val="18"/>
              </w:rPr>
              <w:t>．附加考核指标</w:t>
            </w:r>
          </w:p>
        </w:tc>
        <w:tc>
          <w:tcPr>
            <w:tcW w:w="1656" w:type="dxa"/>
            <w:vAlign w:val="center"/>
          </w:tcPr>
          <w:p w:rsidR="00A6283E" w:rsidRDefault="00A62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A6283E" w:rsidRDefault="006D0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不设上限</w:t>
            </w:r>
          </w:p>
        </w:tc>
        <w:tc>
          <w:tcPr>
            <w:tcW w:w="8702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专职辅导员获得学生工作相关的省级表彰、荣誉称号或省级辅导员职业能力大赛三等奖以上者，所在学院（系）加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分，获得辅导员年度人物提名奖及以上荣誉称号或辅导员职业能力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大赛国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赛三等奖以上者，所在学院（系）加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学院（系）涌现省部级及以上优秀学生典型人物，每人次加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分，全国性典型人物，每人次加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学院（系）处理学生重大突发事件反应迅速、应对得当，及时排除、化解相关隐患，每次加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学生在意识形态方面出现问题被学校纪律处分的，每人次扣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79" w:type="dxa"/>
            <w:vAlign w:val="center"/>
          </w:tcPr>
          <w:p w:rsidR="00A6283E" w:rsidRDefault="006D02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以学校有关职能部门统计数据，及有关表彰文件、通知或学生处对相关事件处理认定为准。</w:t>
            </w:r>
          </w:p>
        </w:tc>
      </w:tr>
    </w:tbl>
    <w:p w:rsidR="00A6283E" w:rsidRDefault="006D023E">
      <w:pPr>
        <w:jc w:val="left"/>
      </w:pPr>
      <w:r>
        <w:rPr>
          <w:rFonts w:ascii="宋体" w:hAnsi="宋体" w:hint="eastAsia"/>
          <w:sz w:val="18"/>
          <w:szCs w:val="18"/>
        </w:rPr>
        <w:t>对创新学院、成教学院的学生工作考评没有研究生教育相关内容，涉及研究生教育和管理的加分项目，取平均成绩。</w:t>
      </w:r>
    </w:p>
    <w:sectPr w:rsidR="00A6283E" w:rsidSect="00A6283E">
      <w:pgSz w:w="16838" w:h="11906" w:orient="landscape"/>
      <w:pgMar w:top="964" w:right="1440" w:bottom="964" w:left="1440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FD" w:rsidRDefault="00B400FD" w:rsidP="00913143">
      <w:r>
        <w:separator/>
      </w:r>
    </w:p>
  </w:endnote>
  <w:endnote w:type="continuationSeparator" w:id="0">
    <w:p w:rsidR="00B400FD" w:rsidRDefault="00B400FD" w:rsidP="0091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FD" w:rsidRDefault="00B400FD" w:rsidP="00913143">
      <w:r>
        <w:separator/>
      </w:r>
    </w:p>
  </w:footnote>
  <w:footnote w:type="continuationSeparator" w:id="0">
    <w:p w:rsidR="00B400FD" w:rsidRDefault="00B400FD" w:rsidP="0091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80B"/>
    <w:rsid w:val="000307DD"/>
    <w:rsid w:val="00211849"/>
    <w:rsid w:val="00250EAD"/>
    <w:rsid w:val="002E5345"/>
    <w:rsid w:val="00360585"/>
    <w:rsid w:val="003872B0"/>
    <w:rsid w:val="0040718A"/>
    <w:rsid w:val="004236D6"/>
    <w:rsid w:val="004F44A7"/>
    <w:rsid w:val="005635F8"/>
    <w:rsid w:val="00647DEB"/>
    <w:rsid w:val="00673510"/>
    <w:rsid w:val="006A5B20"/>
    <w:rsid w:val="006D023E"/>
    <w:rsid w:val="007271D7"/>
    <w:rsid w:val="007A4B4E"/>
    <w:rsid w:val="007C7C25"/>
    <w:rsid w:val="00913143"/>
    <w:rsid w:val="0096180B"/>
    <w:rsid w:val="00A05CB4"/>
    <w:rsid w:val="00A5250A"/>
    <w:rsid w:val="00A6283E"/>
    <w:rsid w:val="00B36339"/>
    <w:rsid w:val="00B400FD"/>
    <w:rsid w:val="00D02189"/>
    <w:rsid w:val="00D763CE"/>
    <w:rsid w:val="00DA24FD"/>
    <w:rsid w:val="00E15C02"/>
    <w:rsid w:val="00E17C29"/>
    <w:rsid w:val="00E21BD8"/>
    <w:rsid w:val="00E2477D"/>
    <w:rsid w:val="00F141B8"/>
    <w:rsid w:val="00F56058"/>
    <w:rsid w:val="00F80F1A"/>
    <w:rsid w:val="00FC1017"/>
    <w:rsid w:val="00FD0DA6"/>
    <w:rsid w:val="00FE2038"/>
    <w:rsid w:val="00FE5C31"/>
    <w:rsid w:val="3C685235"/>
    <w:rsid w:val="5587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3E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2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83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283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C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C02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王博</cp:lastModifiedBy>
  <cp:revision>37</cp:revision>
  <cp:lastPrinted>2017-12-11T08:31:00Z</cp:lastPrinted>
  <dcterms:created xsi:type="dcterms:W3CDTF">2017-12-11T05:13:00Z</dcterms:created>
  <dcterms:modified xsi:type="dcterms:W3CDTF">2017-12-11T09:42:00Z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